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伊犁州特克斯县第二小学整体支出绩效自评报告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部门单位名称（公章）：特克斯县第二小学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特克斯县第二小学无下属预算单位，下设7个处室，分别是：办公室、教务处、德育处、教研室、总务处、工会、党建办。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（2）2021年特克斯县第二小学实有在职人员为85人，其中：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事业在职人员</w:t>
      </w:r>
      <w:r>
        <w:rPr>
          <w:rStyle w:val="16"/>
          <w:rFonts w:ascii="仿宋_GB2312" w:hAnsi="楷体" w:eastAsia="仿宋_GB2312"/>
          <w:b w:val="0"/>
          <w:spacing w:val="-4"/>
          <w:sz w:val="28"/>
          <w:szCs w:val="28"/>
        </w:rPr>
        <w:t>85</w:t>
      </w:r>
      <w:r>
        <w:rPr>
          <w:rStyle w:val="16"/>
          <w:rFonts w:hint="eastAsia" w:ascii="仿宋_GB2312" w:hAnsi="楷体" w:eastAsia="仿宋_GB2312"/>
          <w:b w:val="0"/>
          <w:spacing w:val="-4"/>
          <w:sz w:val="28"/>
          <w:szCs w:val="28"/>
        </w:rPr>
        <w:t>人（上年</w:t>
      </w:r>
      <w:r>
        <w:rPr>
          <w:rStyle w:val="16"/>
          <w:rFonts w:ascii="仿宋_GB2312" w:hAnsi="楷体" w:eastAsia="仿宋_GB2312"/>
          <w:b w:val="0"/>
          <w:spacing w:val="-4"/>
          <w:sz w:val="28"/>
          <w:szCs w:val="28"/>
        </w:rPr>
        <w:t>66</w:t>
      </w:r>
      <w:r>
        <w:rPr>
          <w:rStyle w:val="16"/>
          <w:rFonts w:hint="eastAsia" w:ascii="仿宋_GB2312" w:hAnsi="楷体" w:eastAsia="仿宋_GB2312"/>
          <w:b w:val="0"/>
          <w:spacing w:val="-4"/>
          <w:sz w:val="28"/>
          <w:szCs w:val="28"/>
        </w:rPr>
        <w:t>人），比上年增加</w:t>
      </w:r>
      <w:r>
        <w:rPr>
          <w:rStyle w:val="16"/>
          <w:rFonts w:ascii="仿宋_GB2312" w:hAnsi="楷体" w:eastAsia="仿宋_GB2312"/>
          <w:b w:val="0"/>
          <w:spacing w:val="-4"/>
          <w:sz w:val="28"/>
          <w:szCs w:val="28"/>
        </w:rPr>
        <w:t>19</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实有退休人员64人（上年65人）,比上一年减少1人。</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rPr>
      </w:pPr>
      <w:bookmarkStart w:id="6" w:name="_Toc70450294"/>
      <w:r>
        <w:rPr>
          <w:rStyle w:val="16"/>
          <w:rFonts w:hint="eastAsia" w:ascii="仿宋_GB2312" w:hAnsi="楷体" w:eastAsia="仿宋_GB2312"/>
          <w:b w:val="0"/>
          <w:spacing w:val="-4"/>
          <w:sz w:val="28"/>
          <w:szCs w:val="28"/>
        </w:rPr>
        <w:t>（1）确保人员经费的合理分配。</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（4）完成每年教学任务。全面推进各类教师能力提升培训，加强教师队伍建设。完成好教育教学管理工作。</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w:t>
      </w:r>
      <w:r>
        <w:rPr>
          <w:rStyle w:val="16"/>
          <w:rFonts w:hint="eastAsia" w:ascii="仿宋_GB2312" w:hAnsi="楷体" w:eastAsia="仿宋_GB2312"/>
          <w:b w:val="0"/>
          <w:spacing w:val="-4"/>
          <w:sz w:val="28"/>
          <w:szCs w:val="28"/>
          <w:lang w:val="en-US" w:eastAsia="zh-CN"/>
        </w:rPr>
        <w:t>我单位</w:t>
      </w:r>
      <w:r>
        <w:rPr>
          <w:rStyle w:val="16"/>
          <w:rFonts w:hint="eastAsia" w:ascii="仿宋_GB2312" w:hAnsi="楷体" w:eastAsia="仿宋_GB2312"/>
          <w:b w:val="0"/>
          <w:spacing w:val="-4"/>
          <w:sz w:val="28"/>
          <w:szCs w:val="28"/>
        </w:rPr>
        <w:t>预算为1421.47万元，其中：财政拨款为1421.47万元，2021年中追加583.12万元，调整率69.56%。对比上年1192.55万元增加228.92万元，上升19.20%。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2021年实际决算支出1421.47万元，执行率100%，其中：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1421.47万元，占总支出的100％，主要用于特克斯县第二小学机构正常运转、完成日常工作任务而发生的各项支出。其中：工资福利支出1149.38万元，主要用于在职和离退休人员基本工资、津贴补贴等人员经费。商品和服务支出237.27万元，主要用于办公费、印刷费、水电费、办公设备购置等。对个人和家庭的补助34.82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rPr>
      </w:pPr>
      <w:bookmarkStart w:id="9" w:name="_Toc70450296"/>
      <w:r>
        <w:rPr>
          <w:rStyle w:val="16"/>
          <w:rFonts w:hint="eastAsia" w:ascii="仿宋_GB2312" w:hAnsi="楷体" w:eastAsia="仿宋_GB2312"/>
          <w:b w:val="0"/>
          <w:spacing w:val="-4"/>
          <w:sz w:val="28"/>
          <w:szCs w:val="28"/>
        </w:rPr>
        <w:t>（2）项目支出0万元，占总支出的0％。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w:t>
      </w:r>
      <w:r>
        <w:rPr>
          <w:rStyle w:val="16"/>
          <w:rFonts w:hint="eastAsia" w:ascii="仿宋_GB2312" w:hAnsi="楷体" w:eastAsia="仿宋_GB2312"/>
          <w:b w:val="0"/>
          <w:spacing w:val="-4"/>
          <w:sz w:val="28"/>
          <w:szCs w:val="28"/>
          <w:lang w:val="en-US" w:eastAsia="zh-CN"/>
        </w:rPr>
        <w:t>特克斯县第二小学</w:t>
      </w:r>
      <w:r>
        <w:rPr>
          <w:rStyle w:val="16"/>
          <w:rFonts w:hint="eastAsia" w:ascii="仿宋_GB2312" w:hAnsi="楷体" w:eastAsia="仿宋_GB2312"/>
          <w:b w:val="0"/>
          <w:spacing w:val="-4"/>
          <w:sz w:val="28"/>
          <w:szCs w:val="28"/>
        </w:rPr>
        <w:t>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涉及对象：本次评价对象是特克斯县第二小学所有财政资金支出活动。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基本支出1421.47万元，其中：工资福利支出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特克斯县第二小学严格按照财政部门预算编制与预算调整的工作要求，在预算编制、分配依据充分的条件下，切实做好“先定目标再编预算”，确保预算分配结果合理。同时按照特克斯县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二小学按照财政要求基本支出分月度申报资金使用计划，由财政部门按照进度每月按期拨付，人员支出按照工资计划发放工资；依照特克斯县第二小学《财务管理制度》相关规定和特克斯县第二小学《财务管理制度》规定流程，资金支出按照我内控体系中设定的流程申报审批进行；项目支出属于政府采购的，按照局特克斯县第二小学《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1421.47万元，实际到1421.47万元,实际支出1421.47万元，占总支出的100％，其中：工资福利支出1149.38万元、商品和服务支出237.27万元、对个人和家庭的补助34.82万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2021年基本支出比上年1192.55万元,增加228.92 万元，上升 19.20%，支出上升的主要原因是人员调整，特岗入编，人数增加，兑现了部分人员职称工资，2021年3月绩效调标，发放2018年.2020年绩效奖金及2020年综合治理奖。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（1）制定了特克斯县第二小学专项资金管理办法，各项资金使用审批流程均按规定办理。涉及“三重一大”内容，严格按照规定提请局党组会审议决定，包括项目资金分配、重大项目确定、大额资金支付等。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）建立特克斯县第二小学专项资金专帐，做到有据可依，有据可查。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（3）制订了特克斯县第二小学项目实施方案，确保项目顺利进行。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（4）认真组织特克斯县第二小学项目验收，确保项目顺利进行。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2021年我单位未安排项目支出预算.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2021年特克斯县第二小学资产总额438.09万元，其中流动资产   0万元，固定资产净值438.09万元（其中：土地、房屋及构筑物437.09万元，占固定资产净值的99.77%；通用设备50.14万元，占固定资产净值的11.45%；专用设备13.21万元，占固定资产净值的3%；其他）。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本年度固定资产438.09万元，比上年增加0.1万元，原因是：</w:t>
      </w:r>
      <w:r>
        <w:rPr>
          <w:rStyle w:val="16"/>
          <w:rFonts w:hint="eastAsia" w:ascii="仿宋_GB2312" w:hAnsi="宋体" w:eastAsia="仿宋_GB2312"/>
          <w:b w:val="0"/>
          <w:bCs w:val="0"/>
          <w:spacing w:val="-4"/>
          <w:sz w:val="28"/>
          <w:szCs w:val="28"/>
        </w:rPr>
        <w:t>通用设备增加。</w:t>
      </w:r>
      <w:r>
        <w:rPr>
          <w:rStyle w:val="16"/>
          <w:rFonts w:hint="eastAsia" w:ascii="仿宋_GB2312" w:hAnsi="楷体" w:eastAsia="仿宋_GB2312"/>
          <w:b w:val="0"/>
          <w:spacing w:val="-4"/>
          <w:sz w:val="28"/>
          <w:szCs w:val="28"/>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实际在用固定资产438.09万元，固定资产利用率100%。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2021年度我单位年初预算安排838.35万元，年中调整583.12万元，截止12月底支出1421.47万元，执行率100%。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第二小学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二小学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特克斯县第二小学整体绩效目标共设置一级指标3个，二级指标  6个，三级指标14个，详细说明如下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指标1：保障在职人员人数，指标值：=66人，实际完成值：</w:t>
      </w:r>
      <w:r>
        <w:rPr>
          <w:rStyle w:val="16"/>
          <w:rFonts w:ascii="仿宋_GB2312" w:hAnsi="楷体" w:eastAsia="仿宋_GB2312"/>
          <w:b w:val="0"/>
          <w:spacing w:val="-4"/>
          <w:sz w:val="28"/>
          <w:szCs w:val="28"/>
        </w:rPr>
        <w:t>6</w:t>
      </w: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人，指标完成率1</w:t>
      </w:r>
      <w:r>
        <w:rPr>
          <w:rStyle w:val="16"/>
          <w:rFonts w:ascii="仿宋_GB2312" w:hAnsi="楷体" w:eastAsia="仿宋_GB2312"/>
          <w:b w:val="0"/>
          <w:spacing w:val="-4"/>
          <w:sz w:val="28"/>
          <w:szCs w:val="28"/>
        </w:rPr>
        <w:t>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指标2：退休人员数，指标值：=65人，实际完成值：</w:t>
      </w:r>
      <w:r>
        <w:rPr>
          <w:rStyle w:val="16"/>
          <w:rFonts w:ascii="仿宋_GB2312" w:hAnsi="楷体" w:eastAsia="仿宋_GB2312"/>
          <w:b w:val="0"/>
          <w:spacing w:val="-4"/>
          <w:sz w:val="28"/>
          <w:szCs w:val="28"/>
        </w:rPr>
        <w:t>65</w:t>
      </w:r>
      <w:r>
        <w:rPr>
          <w:rStyle w:val="16"/>
          <w:rFonts w:hint="eastAsia" w:ascii="仿宋_GB2312" w:hAnsi="楷体" w:eastAsia="仿宋_GB2312"/>
          <w:b w:val="0"/>
          <w:spacing w:val="-4"/>
          <w:sz w:val="28"/>
          <w:szCs w:val="28"/>
        </w:rPr>
        <w:t>人 ，指标完成率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指标3：保障采暖补贴人员人数，指标值：=131人，实际完成值：</w:t>
      </w:r>
      <w:r>
        <w:rPr>
          <w:rStyle w:val="16"/>
          <w:rFonts w:ascii="仿宋_GB2312" w:hAnsi="楷体" w:eastAsia="仿宋_GB2312"/>
          <w:b w:val="0"/>
          <w:spacing w:val="-4"/>
          <w:sz w:val="28"/>
          <w:szCs w:val="28"/>
        </w:rPr>
        <w:t>131</w:t>
      </w:r>
      <w:r>
        <w:rPr>
          <w:rStyle w:val="16"/>
          <w:rFonts w:hint="eastAsia" w:ascii="仿宋_GB2312" w:hAnsi="楷体" w:eastAsia="仿宋_GB2312"/>
          <w:b w:val="0"/>
          <w:spacing w:val="-4"/>
          <w:sz w:val="28"/>
          <w:szCs w:val="28"/>
        </w:rPr>
        <w:t>人，指标完成率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指标4：采暖面积，预期指标值：=9075平方米，实际完成值：</w:t>
      </w:r>
      <w:r>
        <w:rPr>
          <w:rStyle w:val="16"/>
          <w:rFonts w:ascii="仿宋_GB2312" w:hAnsi="楷体" w:eastAsia="仿宋_GB2312"/>
          <w:b w:val="0"/>
          <w:spacing w:val="-4"/>
          <w:sz w:val="28"/>
          <w:szCs w:val="28"/>
        </w:rPr>
        <w:t>9075</w:t>
      </w:r>
      <w:r>
        <w:rPr>
          <w:rStyle w:val="16"/>
          <w:rFonts w:hint="eastAsia" w:ascii="仿宋_GB2312" w:hAnsi="楷体" w:eastAsia="仿宋_GB2312"/>
          <w:b w:val="0"/>
          <w:spacing w:val="-4"/>
          <w:sz w:val="28"/>
          <w:szCs w:val="28"/>
        </w:rPr>
        <w:t>平方米，指标完成率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2、质量指标：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指标1：工资及公用经费保障率，指标值：=100%，实际完成值： 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3、时效指标：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指标1：资金发放及时性，=100%，实际完成值：100%，指标完成率100%；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4、成本指标：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指标1：保障人员人均支出标准，指标值：≤124267.71元/人/年，实际完成值：124267.71元/人/年，指标完成率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指标2：退休人员计生奖励，指标值：≤1930元/人/年，实际完成值： 1930元/人/年，指标完成率100%；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指标3：采暖补贴，指标值：≤1300元/人/年，实际完成值： 1300元/人/年，指标完成率100%；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指标4：遗属补助，指标值：≤4440元/人/年，实际完成值：4440元/人/年，指标完成率1</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5、社会效益指标：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指标2：保证教师队伍稳定，指标值：有效保证，实际完成值：有效保证，指标完成率100%；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6、满意度指标：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指标1：教师满意度，指标值：≥95%，实际完成值：95%，指标完成率100%；</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指标2：退休教师满意度，指标值：≥95%，实际完成值：95%，指标完成率100%</w:t>
      </w:r>
      <w:r>
        <w:rPr>
          <w:rStyle w:val="16"/>
          <w:rFonts w:hint="eastAsia" w:ascii="仿宋_GB2312" w:hAnsi="楷体" w:eastAsia="仿宋_GB2312"/>
          <w:b w:val="0"/>
          <w:spacing w:val="-4"/>
          <w:sz w:val="28"/>
          <w:szCs w:val="28"/>
          <w:lang w:eastAsia="zh-CN"/>
        </w:rPr>
        <w:t>。</w:t>
      </w:r>
      <w:bookmarkStart w:id="33" w:name="_GoBack"/>
      <w:bookmarkEnd w:id="33"/>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p/>
    <w:p/>
    <w:tbl>
      <w:tblPr>
        <w:tblStyle w:val="14"/>
        <w:tblW w:w="9104" w:type="dxa"/>
        <w:tblInd w:w="93" w:type="dxa"/>
        <w:tblLayout w:type="autofit"/>
        <w:tblCellMar>
          <w:top w:w="0" w:type="dxa"/>
          <w:left w:w="108" w:type="dxa"/>
          <w:bottom w:w="0" w:type="dxa"/>
          <w:right w:w="108" w:type="dxa"/>
        </w:tblCellMar>
      </w:tblPr>
      <w:tblGrid>
        <w:gridCol w:w="460"/>
        <w:gridCol w:w="1160"/>
        <w:gridCol w:w="2500"/>
        <w:gridCol w:w="816"/>
        <w:gridCol w:w="816"/>
        <w:gridCol w:w="760"/>
        <w:gridCol w:w="916"/>
        <w:gridCol w:w="462"/>
        <w:gridCol w:w="454"/>
        <w:gridCol w:w="760"/>
      </w:tblGrid>
      <w:tr>
        <w:tblPrEx>
          <w:tblCellMar>
            <w:top w:w="0" w:type="dxa"/>
            <w:left w:w="108" w:type="dxa"/>
            <w:bottom w:w="0" w:type="dxa"/>
            <w:right w:w="108" w:type="dxa"/>
          </w:tblCellMar>
        </w:tblPrEx>
        <w:trPr>
          <w:trHeight w:val="615"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部门整体支出绩效目标自评表</w:t>
            </w:r>
          </w:p>
        </w:tc>
      </w:tr>
      <w:tr>
        <w:tblPrEx>
          <w:tblCellMar>
            <w:top w:w="0" w:type="dxa"/>
            <w:left w:w="108" w:type="dxa"/>
            <w:bottom w:w="0" w:type="dxa"/>
            <w:right w:w="108" w:type="dxa"/>
          </w:tblCellMar>
        </w:tblPrEx>
        <w:trPr>
          <w:trHeight w:val="414"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20"/>
                <w:szCs w:val="20"/>
              </w:rPr>
              <w:t>(2021年)</w:t>
            </w:r>
          </w:p>
        </w:tc>
      </w:tr>
      <w:tr>
        <w:tblPrEx>
          <w:tblCellMar>
            <w:top w:w="0" w:type="dxa"/>
            <w:left w:w="108" w:type="dxa"/>
            <w:bottom w:w="0" w:type="dxa"/>
            <w:right w:w="108" w:type="dxa"/>
          </w:tblCellMar>
        </w:tblPrEx>
        <w:trPr>
          <w:trHeight w:val="304" w:hRule="atLeast"/>
        </w:trPr>
        <w:tc>
          <w:tcPr>
            <w:tcW w:w="16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部门（单位）名称</w:t>
            </w:r>
          </w:p>
        </w:tc>
        <w:tc>
          <w:tcPr>
            <w:tcW w:w="748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特克斯县第二小学</w:t>
            </w:r>
          </w:p>
        </w:tc>
      </w:tr>
      <w:tr>
        <w:tblPrEx>
          <w:tblCellMar>
            <w:top w:w="0" w:type="dxa"/>
            <w:left w:w="108" w:type="dxa"/>
            <w:bottom w:w="0" w:type="dxa"/>
            <w:right w:w="108" w:type="dxa"/>
          </w:tblCellMar>
        </w:tblPrEx>
        <w:trPr>
          <w:trHeight w:val="698" w:hRule="atLeast"/>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年度主要任务</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任务名称</w:t>
            </w:r>
          </w:p>
        </w:tc>
        <w:tc>
          <w:tcPr>
            <w:tcW w:w="2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主要内容</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预算金额（万元）</w:t>
            </w:r>
          </w:p>
        </w:tc>
        <w:tc>
          <w:tcPr>
            <w:tcW w:w="259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实际执行（万元）</w:t>
            </w:r>
          </w:p>
        </w:tc>
      </w:tr>
      <w:tr>
        <w:tblPrEx>
          <w:tblCellMar>
            <w:top w:w="0" w:type="dxa"/>
            <w:left w:w="108" w:type="dxa"/>
            <w:bottom w:w="0" w:type="dxa"/>
            <w:right w:w="108" w:type="dxa"/>
          </w:tblCellMar>
        </w:tblPrEx>
        <w:trPr>
          <w:trHeight w:val="698"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25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r>
      <w:tr>
        <w:tblPrEx>
          <w:tblCellMar>
            <w:top w:w="0" w:type="dxa"/>
            <w:left w:w="108" w:type="dxa"/>
            <w:bottom w:w="0" w:type="dxa"/>
            <w:right w:w="108" w:type="dxa"/>
          </w:tblCellMar>
        </w:tblPrEx>
        <w:trPr>
          <w:trHeight w:val="660"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人员保障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用于保障部门单位人员发放工资福利支出及对个人和家庭补助</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821.32</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821.32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821.32</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821.32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681"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运转保障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用于日常办公费、取暖费、三公经费、工会经费、福利费及其他商品和服务支出</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17.03</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17.03</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17.03</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17.03</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435"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3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金额合计</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838.35</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838.35</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ascii="宋体" w:hAnsi="宋体" w:eastAsia="宋体" w:cs="宋体"/>
                <w:kern w:val="0"/>
                <w:sz w:val="20"/>
                <w:szCs w:val="20"/>
              </w:rPr>
              <w:t>838.35</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838.35</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ascii="宋体" w:hAnsi="宋体" w:eastAsia="宋体" w:cs="宋体"/>
                <w:kern w:val="0"/>
                <w:sz w:val="20"/>
                <w:szCs w:val="20"/>
              </w:rPr>
              <w:t>0</w:t>
            </w:r>
          </w:p>
        </w:tc>
      </w:tr>
      <w:tr>
        <w:tblPrEx>
          <w:tblCellMar>
            <w:top w:w="0" w:type="dxa"/>
            <w:left w:w="108" w:type="dxa"/>
            <w:bottom w:w="0" w:type="dxa"/>
            <w:right w:w="108" w:type="dxa"/>
          </w:tblCellMar>
        </w:tblPrEx>
        <w:trPr>
          <w:trHeight w:val="495" w:hRule="atLeast"/>
        </w:trPr>
        <w:tc>
          <w:tcPr>
            <w:tcW w:w="46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年度总体目标</w:t>
            </w:r>
          </w:p>
        </w:tc>
        <w:tc>
          <w:tcPr>
            <w:tcW w:w="44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预期目标</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trHeight w:val="1590" w:hRule="atLeast"/>
        </w:trPr>
        <w:tc>
          <w:tcPr>
            <w:tcW w:w="460"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44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好教育教学管理工作。</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人员经费的合理分配。完成在职教师工资发放、按时完成社保、公积金缴纳。及时完成退休教师取暖费、计生奖励金的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900" w:hRule="atLeast"/>
        </w:trPr>
        <w:tc>
          <w:tcPr>
            <w:tcW w:w="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年度绩效指标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25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二级指标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三级指标</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预期指标值（包含数字及文字描述）</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实际完成指标值（包含数字及文字描述）</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r>
              <w:rPr>
                <w:rFonts w:hint="eastAsia" w:ascii="宋体" w:hAnsi="宋体" w:eastAsia="宋体" w:cs="宋体"/>
                <w:b/>
                <w:bCs/>
                <w:kern w:val="0"/>
                <w:sz w:val="24"/>
              </w:rPr>
              <w:t>6</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保障在职人员人数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66</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65</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保障补贴人员人数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=131人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131</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采暖面积</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=9075平方米</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9075</w:t>
            </w:r>
            <w:r>
              <w:rPr>
                <w:rFonts w:hint="eastAsia" w:ascii="宋体" w:hAnsi="宋体" w:eastAsia="宋体" w:cs="宋体"/>
                <w:kern w:val="0"/>
                <w:sz w:val="18"/>
                <w:szCs w:val="18"/>
              </w:rPr>
              <w:t>平方米</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nil"/>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工资及公用经费保障率</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资金发放及时性</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保障人员人均支出标准</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≤124267.71元/人/年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124267.71元/人/年</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退休人员计生奖励</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≤1930元/人/年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1930元/人/年</w:t>
            </w:r>
          </w:p>
        </w:tc>
      </w:tr>
      <w:tr>
        <w:tblPrEx>
          <w:tblCellMar>
            <w:top w:w="0" w:type="dxa"/>
            <w:left w:w="108" w:type="dxa"/>
            <w:bottom w:w="0" w:type="dxa"/>
            <w:right w:w="108" w:type="dxa"/>
          </w:tblCellMar>
        </w:tblPrEx>
        <w:trPr>
          <w:trHeight w:val="339"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采暖补贴</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≤1300元/人/年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1300元/人/年</w:t>
            </w:r>
          </w:p>
        </w:tc>
      </w:tr>
      <w:tr>
        <w:tblPrEx>
          <w:tblCellMar>
            <w:top w:w="0" w:type="dxa"/>
            <w:left w:w="108" w:type="dxa"/>
            <w:bottom w:w="0" w:type="dxa"/>
            <w:right w:w="108" w:type="dxa"/>
          </w:tblCellMar>
        </w:tblPrEx>
        <w:trPr>
          <w:trHeight w:val="34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遗属补助</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≤4440元/人/年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ascii="宋体" w:hAnsi="宋体" w:eastAsia="宋体" w:cs="宋体"/>
                <w:kern w:val="0"/>
                <w:sz w:val="16"/>
                <w:szCs w:val="16"/>
              </w:rPr>
              <w:t>4440</w:t>
            </w:r>
            <w:r>
              <w:rPr>
                <w:rFonts w:hint="eastAsia" w:ascii="宋体" w:hAnsi="宋体" w:eastAsia="宋体" w:cs="宋体"/>
                <w:kern w:val="0"/>
                <w:sz w:val="16"/>
                <w:szCs w:val="16"/>
              </w:rPr>
              <w:t>元/人/年</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保证教学任务及时完成</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保证教师队伍稳定</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633862"/>
    <w:rsid w:val="00025A44"/>
    <w:rsid w:val="000376C8"/>
    <w:rsid w:val="00072084"/>
    <w:rsid w:val="0009422A"/>
    <w:rsid w:val="000B6B13"/>
    <w:rsid w:val="000D1DEE"/>
    <w:rsid w:val="000D3AFA"/>
    <w:rsid w:val="000E3313"/>
    <w:rsid w:val="00105D60"/>
    <w:rsid w:val="001121F2"/>
    <w:rsid w:val="00112859"/>
    <w:rsid w:val="001173EB"/>
    <w:rsid w:val="00150C4C"/>
    <w:rsid w:val="00191BA3"/>
    <w:rsid w:val="001A2299"/>
    <w:rsid w:val="001A3A0E"/>
    <w:rsid w:val="001F630E"/>
    <w:rsid w:val="0022744B"/>
    <w:rsid w:val="00234372"/>
    <w:rsid w:val="00234B37"/>
    <w:rsid w:val="00246941"/>
    <w:rsid w:val="002553DC"/>
    <w:rsid w:val="002764C7"/>
    <w:rsid w:val="00283AA2"/>
    <w:rsid w:val="002A102C"/>
    <w:rsid w:val="002D075E"/>
    <w:rsid w:val="00303A08"/>
    <w:rsid w:val="003226C4"/>
    <w:rsid w:val="0033316F"/>
    <w:rsid w:val="0039631D"/>
    <w:rsid w:val="003B3C33"/>
    <w:rsid w:val="003E3DEF"/>
    <w:rsid w:val="003E7C70"/>
    <w:rsid w:val="004220B9"/>
    <w:rsid w:val="00463E61"/>
    <w:rsid w:val="0049337C"/>
    <w:rsid w:val="004C4C4D"/>
    <w:rsid w:val="004C6FF3"/>
    <w:rsid w:val="004E69F5"/>
    <w:rsid w:val="004E7AAC"/>
    <w:rsid w:val="00531A31"/>
    <w:rsid w:val="00533C6C"/>
    <w:rsid w:val="005359D3"/>
    <w:rsid w:val="00546768"/>
    <w:rsid w:val="00554458"/>
    <w:rsid w:val="00593943"/>
    <w:rsid w:val="005A08A8"/>
    <w:rsid w:val="005B1250"/>
    <w:rsid w:val="005C33CE"/>
    <w:rsid w:val="006225D7"/>
    <w:rsid w:val="00633862"/>
    <w:rsid w:val="006379B7"/>
    <w:rsid w:val="006413B6"/>
    <w:rsid w:val="006774B2"/>
    <w:rsid w:val="006910A7"/>
    <w:rsid w:val="00691310"/>
    <w:rsid w:val="006A7181"/>
    <w:rsid w:val="006C5BED"/>
    <w:rsid w:val="006D3947"/>
    <w:rsid w:val="00702D4A"/>
    <w:rsid w:val="00704751"/>
    <w:rsid w:val="007115C8"/>
    <w:rsid w:val="00713ADC"/>
    <w:rsid w:val="00725B9A"/>
    <w:rsid w:val="00754721"/>
    <w:rsid w:val="007713F8"/>
    <w:rsid w:val="007A7491"/>
    <w:rsid w:val="007A7874"/>
    <w:rsid w:val="007E23B1"/>
    <w:rsid w:val="00800784"/>
    <w:rsid w:val="00817432"/>
    <w:rsid w:val="008614D8"/>
    <w:rsid w:val="0086230F"/>
    <w:rsid w:val="00875327"/>
    <w:rsid w:val="00886879"/>
    <w:rsid w:val="008875A1"/>
    <w:rsid w:val="00890FC2"/>
    <w:rsid w:val="008E3F8A"/>
    <w:rsid w:val="00923468"/>
    <w:rsid w:val="00952782"/>
    <w:rsid w:val="0095580D"/>
    <w:rsid w:val="0097614B"/>
    <w:rsid w:val="00990F1C"/>
    <w:rsid w:val="00992D45"/>
    <w:rsid w:val="009A10CC"/>
    <w:rsid w:val="009A1625"/>
    <w:rsid w:val="009C0DEF"/>
    <w:rsid w:val="009E5FF8"/>
    <w:rsid w:val="009F06F4"/>
    <w:rsid w:val="00A05135"/>
    <w:rsid w:val="00A07414"/>
    <w:rsid w:val="00A2396A"/>
    <w:rsid w:val="00A43D21"/>
    <w:rsid w:val="00A55238"/>
    <w:rsid w:val="00AA19F1"/>
    <w:rsid w:val="00AA5126"/>
    <w:rsid w:val="00AC4471"/>
    <w:rsid w:val="00AD16CD"/>
    <w:rsid w:val="00AF42EB"/>
    <w:rsid w:val="00B130FE"/>
    <w:rsid w:val="00B17FA8"/>
    <w:rsid w:val="00B34A48"/>
    <w:rsid w:val="00B34F85"/>
    <w:rsid w:val="00B407C3"/>
    <w:rsid w:val="00B666A1"/>
    <w:rsid w:val="00B8256C"/>
    <w:rsid w:val="00B91294"/>
    <w:rsid w:val="00BA1454"/>
    <w:rsid w:val="00BF1F34"/>
    <w:rsid w:val="00C16942"/>
    <w:rsid w:val="00C3552F"/>
    <w:rsid w:val="00C42609"/>
    <w:rsid w:val="00C4673D"/>
    <w:rsid w:val="00C76454"/>
    <w:rsid w:val="00C81F75"/>
    <w:rsid w:val="00CB1C9D"/>
    <w:rsid w:val="00CB6A92"/>
    <w:rsid w:val="00CC7606"/>
    <w:rsid w:val="00CD2F35"/>
    <w:rsid w:val="00CE16E7"/>
    <w:rsid w:val="00CE61DB"/>
    <w:rsid w:val="00D26F3D"/>
    <w:rsid w:val="00D278CF"/>
    <w:rsid w:val="00D43082"/>
    <w:rsid w:val="00D77626"/>
    <w:rsid w:val="00D81EE2"/>
    <w:rsid w:val="00DA4CE0"/>
    <w:rsid w:val="00DA67B8"/>
    <w:rsid w:val="00DB1085"/>
    <w:rsid w:val="00DD223C"/>
    <w:rsid w:val="00E213C7"/>
    <w:rsid w:val="00E41A31"/>
    <w:rsid w:val="00E536C5"/>
    <w:rsid w:val="00E6582B"/>
    <w:rsid w:val="00E7188B"/>
    <w:rsid w:val="00EA25B8"/>
    <w:rsid w:val="00EA5F4F"/>
    <w:rsid w:val="00F006BD"/>
    <w:rsid w:val="00F014EE"/>
    <w:rsid w:val="00F17550"/>
    <w:rsid w:val="00F27120"/>
    <w:rsid w:val="00F341E0"/>
    <w:rsid w:val="00F36401"/>
    <w:rsid w:val="00F41E0B"/>
    <w:rsid w:val="00F42445"/>
    <w:rsid w:val="00F44FCC"/>
    <w:rsid w:val="00F50F36"/>
    <w:rsid w:val="00F74974"/>
    <w:rsid w:val="00F82795"/>
    <w:rsid w:val="00F829DE"/>
    <w:rsid w:val="00F84215"/>
    <w:rsid w:val="00F91CBB"/>
    <w:rsid w:val="00FC2EB7"/>
    <w:rsid w:val="09507CDE"/>
    <w:rsid w:val="09DA1C2B"/>
    <w:rsid w:val="0E9A5E97"/>
    <w:rsid w:val="15F72E61"/>
    <w:rsid w:val="1C3739D3"/>
    <w:rsid w:val="1EB60E4D"/>
    <w:rsid w:val="24FD2B3F"/>
    <w:rsid w:val="27845646"/>
    <w:rsid w:val="3CBF2E2D"/>
    <w:rsid w:val="3DC049AF"/>
    <w:rsid w:val="3ED15516"/>
    <w:rsid w:val="44FD0016"/>
    <w:rsid w:val="55664BF9"/>
    <w:rsid w:val="56EB110A"/>
    <w:rsid w:val="7AE94436"/>
    <w:rsid w:val="7B6D08F5"/>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6303</Words>
  <Characters>6861</Characters>
  <Lines>8</Lines>
  <Paragraphs>14</Paragraphs>
  <TotalTime>2</TotalTime>
  <ScaleCrop>false</ScaleCrop>
  <LinksUpToDate>false</LinksUpToDate>
  <CharactersWithSpaces>6889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2022-05-25T04:26:39Z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